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9B41" w14:textId="77777777" w:rsidR="00A02AB8" w:rsidRPr="00A02AB8" w:rsidRDefault="00A02AB8" w:rsidP="00A02AB8">
      <w:pPr>
        <w:spacing w:after="0" w:line="240" w:lineRule="auto"/>
        <w:outlineLvl w:val="0"/>
        <w:rPr>
          <w:rFonts w:ascii="Times New Roman" w:eastAsia="Times New Roman" w:hAnsi="Times New Roman" w:cs="Times New Roman"/>
          <w:kern w:val="36"/>
          <w:sz w:val="48"/>
          <w:szCs w:val="48"/>
          <w:lang w:eastAsia="es-ES"/>
        </w:rPr>
      </w:pPr>
      <w:r w:rsidRPr="00A02AB8">
        <w:rPr>
          <w:rFonts w:ascii="Times New Roman" w:eastAsia="Times New Roman" w:hAnsi="Times New Roman" w:cs="Times New Roman"/>
          <w:kern w:val="36"/>
          <w:sz w:val="48"/>
          <w:szCs w:val="48"/>
          <w:lang w:eastAsia="es-ES"/>
        </w:rPr>
        <w:t>Nuevas autoliquidaciones rectificativas</w:t>
      </w:r>
    </w:p>
    <w:p w14:paraId="00B2CC9B" w14:textId="77777777" w:rsidR="00A02AB8" w:rsidRPr="00A02AB8" w:rsidRDefault="00000000" w:rsidP="00A02AB8">
      <w:pPr>
        <w:numPr>
          <w:ilvl w:val="0"/>
          <w:numId w:val="1"/>
        </w:numPr>
        <w:spacing w:before="100" w:beforeAutospacing="1" w:after="100" w:afterAutospacing="1" w:line="240" w:lineRule="auto"/>
        <w:ind w:left="495"/>
        <w:rPr>
          <w:rFonts w:ascii="Times New Roman" w:eastAsia="Times New Roman" w:hAnsi="Times New Roman" w:cs="Times New Roman"/>
          <w:sz w:val="24"/>
          <w:szCs w:val="24"/>
          <w:lang w:eastAsia="es-ES"/>
        </w:rPr>
      </w:pPr>
      <w:hyperlink r:id="rId5" w:history="1">
        <w:r w:rsidR="00A02AB8" w:rsidRPr="00A02AB8">
          <w:rPr>
            <w:rFonts w:ascii="Times New Roman" w:eastAsia="Times New Roman" w:hAnsi="Times New Roman" w:cs="Times New Roman"/>
            <w:color w:val="3A3A3A"/>
            <w:sz w:val="24"/>
            <w:szCs w:val="24"/>
            <w:u w:val="single"/>
            <w:lang w:eastAsia="es-ES"/>
          </w:rPr>
          <w:t> Inicio</w:t>
        </w:r>
      </w:hyperlink>
    </w:p>
    <w:p w14:paraId="66600E6E" w14:textId="77777777" w:rsidR="00A02AB8" w:rsidRPr="00A02AB8" w:rsidRDefault="00A02AB8" w:rsidP="00A02AB8">
      <w:pPr>
        <w:numPr>
          <w:ilvl w:val="0"/>
          <w:numId w:val="1"/>
        </w:numPr>
        <w:spacing w:before="100" w:beforeAutospacing="1" w:after="100" w:afterAutospacing="1" w:line="240" w:lineRule="auto"/>
        <w:ind w:left="495"/>
        <w:rPr>
          <w:rFonts w:ascii="Times New Roman" w:eastAsia="Times New Roman" w:hAnsi="Times New Roman" w:cs="Times New Roman"/>
          <w:color w:val="6C757D"/>
          <w:sz w:val="24"/>
          <w:szCs w:val="24"/>
          <w:lang w:eastAsia="es-ES"/>
        </w:rPr>
      </w:pPr>
      <w:r w:rsidRPr="00A02AB8">
        <w:rPr>
          <w:rFonts w:ascii="Times New Roman" w:eastAsia="Times New Roman" w:hAnsi="Times New Roman" w:cs="Times New Roman"/>
          <w:color w:val="6C757D"/>
          <w:sz w:val="24"/>
          <w:szCs w:val="24"/>
          <w:lang w:eastAsia="es-ES"/>
        </w:rPr>
        <w:t>Actualidad fiscal</w:t>
      </w:r>
    </w:p>
    <w:p w14:paraId="0E166DAD" w14:textId="77777777" w:rsidR="00A02AB8" w:rsidRPr="00A02AB8" w:rsidRDefault="00A02AB8" w:rsidP="00A02AB8">
      <w:pPr>
        <w:numPr>
          <w:ilvl w:val="0"/>
          <w:numId w:val="1"/>
        </w:numPr>
        <w:spacing w:before="100" w:beforeAutospacing="1" w:after="100" w:afterAutospacing="1" w:line="240" w:lineRule="auto"/>
        <w:ind w:left="495"/>
        <w:rPr>
          <w:rFonts w:ascii="Times New Roman" w:eastAsia="Times New Roman" w:hAnsi="Times New Roman" w:cs="Times New Roman"/>
          <w:color w:val="6C757D"/>
          <w:sz w:val="24"/>
          <w:szCs w:val="24"/>
          <w:lang w:eastAsia="es-ES"/>
        </w:rPr>
      </w:pPr>
      <w:r w:rsidRPr="00A02AB8">
        <w:rPr>
          <w:rFonts w:ascii="Times New Roman" w:eastAsia="Times New Roman" w:hAnsi="Times New Roman" w:cs="Times New Roman"/>
          <w:color w:val="6C757D"/>
          <w:sz w:val="24"/>
          <w:szCs w:val="24"/>
          <w:lang w:eastAsia="es-ES"/>
        </w:rPr>
        <w:t>Normativa</w:t>
      </w:r>
    </w:p>
    <w:p w14:paraId="0D7A5161" w14:textId="77777777" w:rsidR="00A02AB8" w:rsidRPr="00A02AB8" w:rsidRDefault="00A02AB8" w:rsidP="00A02AB8">
      <w:pPr>
        <w:shd w:val="clear" w:color="auto" w:fill="FFFFFF"/>
        <w:spacing w:after="0" w:line="240" w:lineRule="auto"/>
        <w:rPr>
          <w:rFonts w:ascii="Times New Roman" w:eastAsia="Times New Roman" w:hAnsi="Times New Roman" w:cs="Times New Roman"/>
          <w:sz w:val="24"/>
          <w:szCs w:val="24"/>
          <w:lang w:eastAsia="es-ES"/>
        </w:rPr>
      </w:pPr>
      <w:r w:rsidRPr="00A02AB8">
        <w:rPr>
          <w:rFonts w:ascii="Times New Roman" w:eastAsia="Times New Roman" w:hAnsi="Times New Roman" w:cs="Times New Roman"/>
          <w:noProof/>
          <w:sz w:val="24"/>
          <w:szCs w:val="24"/>
          <w:lang w:eastAsia="es-ES"/>
        </w:rPr>
        <w:drawing>
          <wp:inline distT="0" distB="0" distL="0" distR="0" wp14:anchorId="49BEB7A6" wp14:editId="349831D9">
            <wp:extent cx="6096000" cy="4572000"/>
            <wp:effectExtent l="0" t="0" r="0" b="0"/>
            <wp:docPr id="1" name="Imagen 1" descr="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2890AD50"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 20/06/2023</w:t>
      </w:r>
    </w:p>
    <w:p w14:paraId="51559CF2"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Como sabrás, hasta la fecha, cuando tras una autoliquidación considerábamos que nos habíamos equivocado en nuestra contra, esto es, que se había pagado de más o solicitado una menor devolución, el procedimiento a seguir es instar una solicitud de rectificación de autoliquidación junto con, en su caso, devolución de ingresos indebidos. </w:t>
      </w:r>
    </w:p>
    <w:p w14:paraId="5C72C34F"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 xml:space="preserve">Solicitud que se tramita como tal, esto es, se inicia un procedimiento específico ante el órgano competente quien, tras recibir la solicitud, emite una propuesta dando trámite de alegaciones, tras lo cual se dicta la correspondiente resolución contra la que, en su caso cabría interponer recurso o reclamación e iniciar una vía de revisión. Un procedimiento cuya duración, solo del procedimiento de solicitud hasta que se dicte y notifique resolución, puede </w:t>
      </w:r>
      <w:r w:rsidRPr="00A02AB8">
        <w:rPr>
          <w:rFonts w:ascii="Nunito" w:eastAsia="Times New Roman" w:hAnsi="Nunito" w:cs="Times New Roman"/>
          <w:sz w:val="24"/>
          <w:szCs w:val="24"/>
          <w:lang w:eastAsia="es-ES"/>
        </w:rPr>
        <w:lastRenderedPageBreak/>
        <w:t>demorarse 6 meses, sin contar el posible recurso que quepa interponer contra dicha resolución. </w:t>
      </w:r>
    </w:p>
    <w:p w14:paraId="39BB8DE8"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 xml:space="preserve">Ahora, la Ley 13/2023, de 24 de mayo, ha modificado la Ley 58/2003, de 17 de diciembre, General Tributaria, en diversos aspectos, por </w:t>
      </w:r>
      <w:proofErr w:type="gramStart"/>
      <w:r w:rsidRPr="00A02AB8">
        <w:rPr>
          <w:rFonts w:ascii="Nunito" w:eastAsia="Times New Roman" w:hAnsi="Nunito" w:cs="Times New Roman"/>
          <w:sz w:val="24"/>
          <w:szCs w:val="24"/>
          <w:lang w:eastAsia="es-ES"/>
        </w:rPr>
        <w:t>ejemplo</w:t>
      </w:r>
      <w:proofErr w:type="gramEnd"/>
      <w:r w:rsidRPr="00A02AB8">
        <w:rPr>
          <w:rFonts w:ascii="Nunito" w:eastAsia="Times New Roman" w:hAnsi="Nunito" w:cs="Times New Roman"/>
          <w:sz w:val="24"/>
          <w:szCs w:val="24"/>
          <w:lang w:eastAsia="es-ES"/>
        </w:rPr>
        <w:t xml:space="preserve"> en la habilitación para que la normativa propia de cada tributo contemple una nueva forma de rectificación de los errores que el contribuyente haya podido cometer en la presentación de una autoliquidación. </w:t>
      </w:r>
      <w:r w:rsidRPr="00A02AB8">
        <w:rPr>
          <w:rFonts w:ascii="Nunito" w:eastAsia="Times New Roman" w:hAnsi="Nunito" w:cs="Times New Roman"/>
          <w:b/>
          <w:bCs/>
          <w:sz w:val="24"/>
          <w:szCs w:val="24"/>
          <w:lang w:eastAsia="es-ES"/>
        </w:rPr>
        <w:t>Se trata de la figura de la autoliquidación rectificativa.</w:t>
      </w:r>
    </w:p>
    <w:p w14:paraId="6B3FDFCF"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La entrada en vigor de esta nueva forma de rectificación de errores se produjo el día 26 de mayo de 2023. Sin embargo, su puesta en marcha no puede ser inmediata, pues requiere de su reconocimiento y especificación en la normativa propia de cada tributo; es decir, en los correspondientes reglamentos y en las órdenes ministeriales de aprobación de los modelos de autoliquidación.</w:t>
      </w:r>
    </w:p>
    <w:p w14:paraId="0C7A02EF"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Cuando se complete esta regulación nos encontraremos con </w:t>
      </w:r>
      <w:r w:rsidRPr="00A02AB8">
        <w:rPr>
          <w:rFonts w:ascii="Nunito" w:eastAsia="Times New Roman" w:hAnsi="Nunito" w:cs="Times New Roman"/>
          <w:b/>
          <w:bCs/>
          <w:sz w:val="24"/>
          <w:szCs w:val="24"/>
          <w:lang w:eastAsia="es-ES"/>
        </w:rPr>
        <w:t>una forma más sencilla e intuitiva de rectificar los errores que perjudican al ciudadano</w:t>
      </w:r>
      <w:r w:rsidRPr="00A02AB8">
        <w:rPr>
          <w:rFonts w:ascii="Nunito" w:eastAsia="Times New Roman" w:hAnsi="Nunito" w:cs="Times New Roman"/>
          <w:sz w:val="24"/>
          <w:szCs w:val="24"/>
          <w:lang w:eastAsia="es-ES"/>
        </w:rPr>
        <w:t>, que convivirá con las autoliquidaciones complementarias (cuando resulte un importe a ingresar superior al de la autoliquidación anterior, o una cantidad a devolver o a compensar inferior a la anteriormente autoliquidada), pero ambas figuras (rectificativas y complementarias) tendrán un funcionamiento esencialmente idéntico, lo que facilitará su comprensión y uso por parte de los ciudadanos.</w:t>
      </w:r>
    </w:p>
    <w:p w14:paraId="3FCF52AE"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A diferencia del sistema previo, que supone el inicio y tramitación de un procedimiento administrativo, con la autoliquidación rectificativa el ciudadano solo tendrá que confeccionar y presentar una nueva autoliquidación con todos los datos correctos, utilizando el mismo modelo que utilizó para la presentación de la autoliquidación errónea.</w:t>
      </w:r>
    </w:p>
    <w:p w14:paraId="0FA3BE79"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La integración de la autoliquidación rectificativa en el modelo de declaración del tributo tiene la ventaja de posibilitar el uso de los programas de ayuda a la confección de las autoliquidaciones, con una doble finalidad: por un lado, los programas de ayuda incorporarán la información que esté disponible en la Agencia Tributaria y sea relevante para la autoliquidación del tributo, incluida la autoliquidación anterior; por otro, en muchos casos el nuevo sistema también permitirá guiar al ciudadano en la correcta elección de la forma de rectificar los errores cometidos.</w:t>
      </w:r>
    </w:p>
    <w:p w14:paraId="17CED298"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Además, la autoliquidación rectificativa se podrá presentar tanto dentro como fuera del plazo de declaración del tributo y, una vez presentada, se darán por rectificados los errores cometidos sin necesidad de tramitar un procedimiento, lo que ahorrará trámites y tiempo de resolución de esos errores.</w:t>
      </w:r>
    </w:p>
    <w:p w14:paraId="7471D241"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En el caso de que la autoliquidación inicial hubiera dado lugar a una deuda o a un ingreso superior al de la autoliquidación rectificativa, el exceso de deuda se anulará y el ingreso excesivo se devolverá de forma más rápida y en muchos casos de forma inmediata, dado que la autoliquidación rectificativa se someterá a los mismos análisis de riesgos que se aplican a las autoliquidaciones.</w:t>
      </w:r>
    </w:p>
    <w:p w14:paraId="4D9BFAED"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Solo en algunos casos, si se detectan riesgos más complejos, la autoliquidación rectificativa se someterá a controles más exhaustivos, pudiéndose iniciar un procedimiento de comprobación o investigación.</w:t>
      </w:r>
    </w:p>
    <w:p w14:paraId="73F644EA" w14:textId="77777777" w:rsidR="00A02AB8" w:rsidRPr="00A02AB8" w:rsidRDefault="00A02AB8" w:rsidP="00A02AB8">
      <w:pPr>
        <w:shd w:val="clear" w:color="auto" w:fill="FFFFFF"/>
        <w:spacing w:after="100" w:afterAutospacing="1" w:line="240" w:lineRule="auto"/>
        <w:rPr>
          <w:rFonts w:ascii="Nunito" w:eastAsia="Times New Roman" w:hAnsi="Nunito" w:cs="Times New Roman"/>
          <w:sz w:val="24"/>
          <w:szCs w:val="24"/>
          <w:lang w:eastAsia="es-ES"/>
        </w:rPr>
      </w:pPr>
      <w:r w:rsidRPr="00A02AB8">
        <w:rPr>
          <w:rFonts w:ascii="Nunito" w:eastAsia="Times New Roman" w:hAnsi="Nunito" w:cs="Times New Roman"/>
          <w:sz w:val="24"/>
          <w:szCs w:val="24"/>
          <w:lang w:eastAsia="es-ES"/>
        </w:rPr>
        <w:t>Conforme se vaya habilitando esta posibilidad en cada uno de los tributos, te iremos informando al respecto.  </w:t>
      </w:r>
    </w:p>
    <w:p w14:paraId="18C9877B" w14:textId="77777777" w:rsidR="0067089F" w:rsidRDefault="0067089F" w:rsidP="0067089F">
      <w:pPr>
        <w:shd w:val="clear" w:color="auto" w:fill="FFFFFF"/>
        <w:spacing w:after="100" w:afterAutospacing="1" w:line="240" w:lineRule="auto"/>
        <w:rPr>
          <w:rFonts w:ascii="Nunito" w:eastAsia="Times New Roman" w:hAnsi="Nunito" w:cs="Times New Roman"/>
          <w:color w:val="3A3A3A"/>
          <w:sz w:val="19"/>
          <w:szCs w:val="19"/>
          <w:lang w:eastAsia="es-ES"/>
        </w:rPr>
      </w:pPr>
      <w:r>
        <w:rPr>
          <w:rFonts w:ascii="Nunito" w:eastAsia="Times New Roman" w:hAnsi="Nunito" w:cs="Times New Roman"/>
          <w:color w:val="3A3A3A"/>
          <w:sz w:val="19"/>
          <w:szCs w:val="19"/>
          <w:lang w:eastAsia="es-ES"/>
        </w:rPr>
        <w:t xml:space="preserve">Artículo de: </w:t>
      </w:r>
    </w:p>
    <w:p w14:paraId="065F3D33" w14:textId="77777777" w:rsidR="0067089F" w:rsidRDefault="0067089F" w:rsidP="0067089F">
      <w:pPr>
        <w:shd w:val="clear" w:color="auto" w:fill="FFFFFF"/>
        <w:spacing w:after="100" w:afterAutospacing="1" w:line="240" w:lineRule="auto"/>
      </w:pPr>
      <w:r>
        <w:rPr>
          <w:noProof/>
          <w:color w:val="242128"/>
        </w:rPr>
        <w:drawing>
          <wp:inline distT="0" distB="0" distL="0" distR="0" wp14:anchorId="0EBB73E5" wp14:editId="4859CBAB">
            <wp:extent cx="1495425" cy="523875"/>
            <wp:effectExtent l="0" t="0" r="9525" b="9525"/>
            <wp:docPr id="1755935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523875"/>
                    </a:xfrm>
                    <a:prstGeom prst="rect">
                      <a:avLst/>
                    </a:prstGeom>
                    <a:noFill/>
                    <a:ln>
                      <a:noFill/>
                    </a:ln>
                  </pic:spPr>
                </pic:pic>
              </a:graphicData>
            </a:graphic>
          </wp:inline>
        </w:drawing>
      </w:r>
    </w:p>
    <w:p w14:paraId="5FCF9C61" w14:textId="77777777" w:rsidR="000E5316" w:rsidRDefault="000E5316"/>
    <w:sectPr w:rsidR="000E53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F2C32"/>
    <w:multiLevelType w:val="multilevel"/>
    <w:tmpl w:val="7576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19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B8"/>
    <w:rsid w:val="000E5316"/>
    <w:rsid w:val="00214A8C"/>
    <w:rsid w:val="0067089F"/>
    <w:rsid w:val="00A02A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B70F"/>
  <w15:chartTrackingRefBased/>
  <w15:docId w15:val="{725793A5-5E2D-4506-9B2D-2CBFED9F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772747">
      <w:bodyDiv w:val="1"/>
      <w:marLeft w:val="0"/>
      <w:marRight w:val="0"/>
      <w:marTop w:val="0"/>
      <w:marBottom w:val="0"/>
      <w:divBdr>
        <w:top w:val="none" w:sz="0" w:space="0" w:color="auto"/>
        <w:left w:val="none" w:sz="0" w:space="0" w:color="auto"/>
        <w:bottom w:val="none" w:sz="0" w:space="0" w:color="auto"/>
        <w:right w:val="none" w:sz="0" w:space="0" w:color="auto"/>
      </w:divBdr>
      <w:divsChild>
        <w:div w:id="1073546842">
          <w:marLeft w:val="-225"/>
          <w:marRight w:val="-225"/>
          <w:marTop w:val="0"/>
          <w:marBottom w:val="0"/>
          <w:divBdr>
            <w:top w:val="none" w:sz="0" w:space="0" w:color="auto"/>
            <w:left w:val="none" w:sz="0" w:space="0" w:color="auto"/>
            <w:bottom w:val="none" w:sz="0" w:space="0" w:color="auto"/>
            <w:right w:val="none" w:sz="0" w:space="0" w:color="auto"/>
          </w:divBdr>
          <w:divsChild>
            <w:div w:id="1940749306">
              <w:marLeft w:val="0"/>
              <w:marRight w:val="0"/>
              <w:marTop w:val="0"/>
              <w:marBottom w:val="0"/>
              <w:divBdr>
                <w:top w:val="none" w:sz="0" w:space="0" w:color="auto"/>
                <w:left w:val="none" w:sz="0" w:space="0" w:color="auto"/>
                <w:bottom w:val="none" w:sz="0" w:space="0" w:color="auto"/>
                <w:right w:val="none" w:sz="0" w:space="0" w:color="auto"/>
              </w:divBdr>
              <w:divsChild>
                <w:div w:id="272327893">
                  <w:marLeft w:val="0"/>
                  <w:marRight w:val="0"/>
                  <w:marTop w:val="0"/>
                  <w:marBottom w:val="0"/>
                  <w:divBdr>
                    <w:top w:val="none" w:sz="0" w:space="0" w:color="auto"/>
                    <w:left w:val="none" w:sz="0" w:space="0" w:color="auto"/>
                    <w:bottom w:val="none" w:sz="0" w:space="0" w:color="auto"/>
                    <w:right w:val="none" w:sz="0" w:space="0" w:color="auto"/>
                  </w:divBdr>
                  <w:divsChild>
                    <w:div w:id="17278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7079">
          <w:marLeft w:val="-225"/>
          <w:marRight w:val="-225"/>
          <w:marTop w:val="0"/>
          <w:marBottom w:val="0"/>
          <w:divBdr>
            <w:top w:val="none" w:sz="0" w:space="0" w:color="auto"/>
            <w:left w:val="none" w:sz="0" w:space="0" w:color="auto"/>
            <w:bottom w:val="none" w:sz="0" w:space="0" w:color="auto"/>
            <w:right w:val="none" w:sz="0" w:space="0" w:color="auto"/>
          </w:divBdr>
          <w:divsChild>
            <w:div w:id="738141000">
              <w:marLeft w:val="0"/>
              <w:marRight w:val="0"/>
              <w:marTop w:val="0"/>
              <w:marBottom w:val="0"/>
              <w:divBdr>
                <w:top w:val="none" w:sz="0" w:space="0" w:color="auto"/>
                <w:left w:val="none" w:sz="0" w:space="0" w:color="auto"/>
                <w:bottom w:val="none" w:sz="0" w:space="0" w:color="auto"/>
                <w:right w:val="none" w:sz="0" w:space="0" w:color="auto"/>
              </w:divBdr>
              <w:divsChild>
                <w:div w:id="2040933237">
                  <w:marLeft w:val="0"/>
                  <w:marRight w:val="0"/>
                  <w:marTop w:val="0"/>
                  <w:marBottom w:val="0"/>
                  <w:divBdr>
                    <w:top w:val="none" w:sz="0" w:space="0" w:color="auto"/>
                    <w:left w:val="none" w:sz="0" w:space="0" w:color="auto"/>
                    <w:bottom w:val="none" w:sz="0" w:space="0" w:color="auto"/>
                    <w:right w:val="none" w:sz="0" w:space="0" w:color="auto"/>
                  </w:divBdr>
                  <w:divsChild>
                    <w:div w:id="733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rivado.mibufe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3637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Encarni</dc:creator>
  <cp:keywords/>
  <dc:description/>
  <cp:lastModifiedBy>Encarni</cp:lastModifiedBy>
  <cp:revision>2</cp:revision>
  <dcterms:created xsi:type="dcterms:W3CDTF">2023-06-29T11:16:00Z</dcterms:created>
  <dcterms:modified xsi:type="dcterms:W3CDTF">2023-06-29T11:30:00Z</dcterms:modified>
</cp:coreProperties>
</file>